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6D" w:rsidRDefault="00A14340" w:rsidP="00DD41CD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The Government committed to </w:t>
      </w:r>
      <w:r w:rsidR="004C12F0">
        <w:rPr>
          <w:color w:val="auto"/>
          <w:sz w:val="22"/>
          <w:szCs w:val="22"/>
        </w:rPr>
        <w:t>“</w:t>
      </w:r>
      <w:r w:rsidR="002C006D" w:rsidRPr="002C006D">
        <w:rPr>
          <w:color w:val="auto"/>
          <w:sz w:val="22"/>
          <w:szCs w:val="22"/>
        </w:rPr>
        <w:t>provide up to $86 million for 10,000 additional apprenticeships over six years to m</w:t>
      </w:r>
      <w:r>
        <w:rPr>
          <w:color w:val="auto"/>
          <w:sz w:val="22"/>
          <w:szCs w:val="22"/>
        </w:rPr>
        <w:t>eet the looming skills shortage</w:t>
      </w:r>
      <w:r w:rsidR="002C006D" w:rsidRPr="002C006D">
        <w:rPr>
          <w:color w:val="auto"/>
          <w:sz w:val="22"/>
          <w:szCs w:val="22"/>
        </w:rPr>
        <w:t xml:space="preserve"> from 2012-13</w:t>
      </w:r>
      <w:r w:rsidR="004C12F0">
        <w:rPr>
          <w:color w:val="auto"/>
          <w:sz w:val="22"/>
          <w:szCs w:val="22"/>
        </w:rPr>
        <w:t>”</w:t>
      </w:r>
      <w:r w:rsidR="002C006D" w:rsidRPr="002C006D">
        <w:rPr>
          <w:color w:val="auto"/>
          <w:sz w:val="22"/>
          <w:szCs w:val="22"/>
        </w:rPr>
        <w:t>. This commitment was announced as part of the pledge to revamp Queensland’s skills and training, and significantly boost apprenticeship opportunities for Queenslanders.</w:t>
      </w:r>
      <w:r w:rsidR="002C006D">
        <w:rPr>
          <w:color w:val="auto"/>
          <w:sz w:val="22"/>
          <w:szCs w:val="22"/>
        </w:rPr>
        <w:t xml:space="preserve"> </w:t>
      </w:r>
    </w:p>
    <w:p w:rsidR="002C006D" w:rsidRPr="000A4B6D" w:rsidRDefault="000A4B6D" w:rsidP="00DD41CD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2"/>
          <w:szCs w:val="22"/>
        </w:rPr>
      </w:pPr>
      <w:r w:rsidRPr="000A4B6D">
        <w:rPr>
          <w:bCs/>
          <w:sz w:val="22"/>
          <w:szCs w:val="22"/>
        </w:rPr>
        <w:t>The funding commitment for this strategy is $8 million to be m</w:t>
      </w:r>
      <w:r w:rsidR="00DD41CD">
        <w:rPr>
          <w:bCs/>
          <w:sz w:val="22"/>
          <w:szCs w:val="22"/>
        </w:rPr>
        <w:t>ade available in 2014–15, $16.4 </w:t>
      </w:r>
      <w:r w:rsidRPr="000A4B6D">
        <w:rPr>
          <w:bCs/>
          <w:sz w:val="22"/>
          <w:szCs w:val="22"/>
        </w:rPr>
        <w:t>million in 2015</w:t>
      </w:r>
      <w:r w:rsidR="00314D79">
        <w:rPr>
          <w:bCs/>
          <w:sz w:val="22"/>
          <w:szCs w:val="22"/>
        </w:rPr>
        <w:t>-</w:t>
      </w:r>
      <w:r w:rsidRPr="000A4B6D">
        <w:rPr>
          <w:bCs/>
          <w:sz w:val="22"/>
          <w:szCs w:val="22"/>
        </w:rPr>
        <w:t xml:space="preserve">16 and up to $61.6 million to be committed over the remaining </w:t>
      </w:r>
      <w:r>
        <w:rPr>
          <w:bCs/>
          <w:sz w:val="22"/>
          <w:szCs w:val="22"/>
        </w:rPr>
        <w:t xml:space="preserve">two </w:t>
      </w:r>
      <w:r w:rsidRPr="000A4B6D">
        <w:rPr>
          <w:bCs/>
          <w:sz w:val="22"/>
          <w:szCs w:val="22"/>
        </w:rPr>
        <w:t>years.</w:t>
      </w:r>
    </w:p>
    <w:p w:rsidR="000A4B6D" w:rsidRPr="000A4B6D" w:rsidRDefault="005A14BF" w:rsidP="00DD41CD">
      <w:pPr>
        <w:pStyle w:val="Default"/>
        <w:numPr>
          <w:ilvl w:val="0"/>
          <w:numId w:val="1"/>
        </w:numPr>
        <w:spacing w:before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The Department of Education, Training and Employment</w:t>
      </w:r>
      <w:r w:rsidR="000A4B6D" w:rsidRPr="000A4B6D">
        <w:rPr>
          <w:spacing w:val="-2"/>
          <w:sz w:val="22"/>
          <w:szCs w:val="22"/>
        </w:rPr>
        <w:t xml:space="preserve"> has refocused and realigned a number of key activities and actions to provide the necessary focus within its core business and current programs to create an environment to support additional apprenticeship opportunities in Queensland. </w:t>
      </w:r>
      <w:r w:rsidR="00B060CA">
        <w:rPr>
          <w:spacing w:val="-2"/>
          <w:sz w:val="22"/>
          <w:szCs w:val="22"/>
        </w:rPr>
        <w:t xml:space="preserve"> </w:t>
      </w:r>
      <w:r w:rsidR="00DD41CD">
        <w:rPr>
          <w:spacing w:val="-2"/>
          <w:sz w:val="22"/>
          <w:szCs w:val="22"/>
        </w:rPr>
        <w:t>The department</w:t>
      </w:r>
      <w:r w:rsidR="000A4B6D" w:rsidRPr="000A4B6D">
        <w:rPr>
          <w:spacing w:val="-2"/>
          <w:sz w:val="22"/>
          <w:szCs w:val="22"/>
        </w:rPr>
        <w:t xml:space="preserve"> has also implemented two initiatives as part of </w:t>
      </w:r>
      <w:r w:rsidR="000A4B6D" w:rsidRPr="000A4B6D">
        <w:rPr>
          <w:i/>
          <w:spacing w:val="-2"/>
          <w:sz w:val="22"/>
          <w:szCs w:val="22"/>
        </w:rPr>
        <w:t>Great skills. Real opportunities</w:t>
      </w:r>
      <w:r w:rsidR="00314D79">
        <w:rPr>
          <w:i/>
          <w:spacing w:val="-2"/>
          <w:sz w:val="22"/>
          <w:szCs w:val="22"/>
        </w:rPr>
        <w:t>.</w:t>
      </w:r>
      <w:r w:rsidR="000A4B6D" w:rsidRPr="000A4B6D">
        <w:rPr>
          <w:spacing w:val="-2"/>
          <w:sz w:val="22"/>
          <w:szCs w:val="22"/>
        </w:rPr>
        <w:t xml:space="preserve"> that form a three-year, $13 million strategic intervention</w:t>
      </w:r>
      <w:r w:rsidR="000A4B6D">
        <w:rPr>
          <w:spacing w:val="-2"/>
          <w:sz w:val="22"/>
          <w:szCs w:val="22"/>
        </w:rPr>
        <w:t>:</w:t>
      </w:r>
    </w:p>
    <w:p w:rsidR="000A4B6D" w:rsidRPr="000A4B6D" w:rsidRDefault="000A4B6D" w:rsidP="00DD41CD">
      <w:pPr>
        <w:numPr>
          <w:ilvl w:val="0"/>
          <w:numId w:val="7"/>
        </w:numPr>
        <w:spacing w:before="120"/>
        <w:ind w:left="709" w:hanging="352"/>
        <w:jc w:val="both"/>
        <w:rPr>
          <w:rFonts w:ascii="Arial" w:hAnsi="Arial" w:cs="Arial"/>
          <w:b/>
          <w:sz w:val="22"/>
          <w:szCs w:val="22"/>
        </w:rPr>
      </w:pPr>
      <w:r w:rsidRPr="00497D04">
        <w:rPr>
          <w:rFonts w:ascii="Arial" w:hAnsi="Arial" w:cs="Arial"/>
          <w:sz w:val="22"/>
          <w:szCs w:val="22"/>
        </w:rPr>
        <w:t>School to Trade Pathway Incentive –</w:t>
      </w:r>
      <w:r w:rsidRPr="000A4B6D">
        <w:rPr>
          <w:rFonts w:ascii="Arial" w:hAnsi="Arial" w:cs="Arial"/>
          <w:sz w:val="22"/>
          <w:szCs w:val="22"/>
        </w:rPr>
        <w:t xml:space="preserve"> </w:t>
      </w:r>
      <w:r w:rsidR="00DD41CD">
        <w:rPr>
          <w:rFonts w:ascii="Arial" w:hAnsi="Arial" w:cs="Arial"/>
          <w:sz w:val="22"/>
          <w:szCs w:val="22"/>
        </w:rPr>
        <w:t>a</w:t>
      </w:r>
      <w:r w:rsidRPr="000A4B6D">
        <w:rPr>
          <w:rFonts w:ascii="Arial" w:hAnsi="Arial" w:cs="Arial"/>
          <w:sz w:val="22"/>
          <w:szCs w:val="22"/>
        </w:rPr>
        <w:t xml:space="preserve"> $10 million incentive program, providing employers with up to $5,000 to commence a school-based apprentice and retain the apprentice in a full apprenticeship on completion of schooling; </w:t>
      </w:r>
      <w:r w:rsidR="00314D79">
        <w:rPr>
          <w:rFonts w:ascii="Arial" w:hAnsi="Arial" w:cs="Arial"/>
          <w:sz w:val="22"/>
          <w:szCs w:val="22"/>
        </w:rPr>
        <w:t>and</w:t>
      </w:r>
    </w:p>
    <w:p w:rsidR="000A4B6D" w:rsidRPr="000A4B6D" w:rsidRDefault="000A4B6D" w:rsidP="00DD41CD">
      <w:pPr>
        <w:pStyle w:val="ListParagraph"/>
        <w:numPr>
          <w:ilvl w:val="0"/>
          <w:numId w:val="7"/>
        </w:numPr>
        <w:spacing w:before="120" w:after="0" w:line="240" w:lineRule="auto"/>
        <w:ind w:left="709" w:hanging="352"/>
        <w:contextualSpacing w:val="0"/>
        <w:jc w:val="both"/>
        <w:rPr>
          <w:rFonts w:ascii="Arial" w:hAnsi="Arial" w:cs="Arial"/>
        </w:rPr>
      </w:pPr>
      <w:r w:rsidRPr="00497D04">
        <w:rPr>
          <w:rFonts w:ascii="Arial" w:hAnsi="Arial" w:cs="Arial"/>
        </w:rPr>
        <w:t>Group Training Additional Apprentice Bonus –</w:t>
      </w:r>
      <w:r w:rsidRPr="000A4B6D">
        <w:rPr>
          <w:rFonts w:ascii="Arial" w:hAnsi="Arial" w:cs="Arial"/>
        </w:rPr>
        <w:t xml:space="preserve"> </w:t>
      </w:r>
      <w:r w:rsidR="00DD41CD">
        <w:rPr>
          <w:rFonts w:ascii="Arial" w:hAnsi="Arial" w:cs="Arial"/>
        </w:rPr>
        <w:t>u</w:t>
      </w:r>
      <w:r w:rsidRPr="000A4B6D">
        <w:rPr>
          <w:rFonts w:ascii="Arial" w:hAnsi="Arial" w:cs="Arial"/>
        </w:rPr>
        <w:t>p to $3 million to create additional apprenticeship opportunities through group training organisations.</w:t>
      </w:r>
    </w:p>
    <w:p w:rsidR="00210CA7" w:rsidRPr="00AD28C7" w:rsidRDefault="00CD0F51" w:rsidP="00DD41CD">
      <w:pPr>
        <w:pStyle w:val="Default"/>
        <w:numPr>
          <w:ilvl w:val="0"/>
          <w:numId w:val="1"/>
        </w:numPr>
        <w:spacing w:before="240"/>
        <w:jc w:val="both"/>
      </w:pPr>
      <w:r w:rsidRPr="00210CA7">
        <w:rPr>
          <w:bCs/>
          <w:spacing w:val="-3"/>
          <w:sz w:val="22"/>
          <w:szCs w:val="22"/>
        </w:rPr>
        <w:t xml:space="preserve">To achieve 10,000 additional apprenticeships over six years using the baseline derived from the National Partnership Agreement on Skills Reform, a total of 109,258 apprenticeship commencements will be required. </w:t>
      </w:r>
    </w:p>
    <w:p w:rsidR="00210CA7" w:rsidRPr="00210CA7" w:rsidRDefault="00B060CA" w:rsidP="00DD41CD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10CA7" w:rsidRPr="00210CA7">
        <w:rPr>
          <w:sz w:val="22"/>
          <w:szCs w:val="22"/>
        </w:rPr>
        <w:t>pprenticeship commencements are demand driven</w:t>
      </w:r>
      <w:r w:rsidR="004C12F0">
        <w:rPr>
          <w:sz w:val="22"/>
          <w:szCs w:val="22"/>
        </w:rPr>
        <w:t>,</w:t>
      </w:r>
      <w:r w:rsidR="00210CA7" w:rsidRPr="00210CA7">
        <w:rPr>
          <w:sz w:val="22"/>
          <w:szCs w:val="22"/>
        </w:rPr>
        <w:t xml:space="preserve"> as a result of their direct link to employment</w:t>
      </w:r>
      <w:r w:rsidR="004C12F0">
        <w:rPr>
          <w:sz w:val="22"/>
          <w:szCs w:val="22"/>
        </w:rPr>
        <w:t>,</w:t>
      </w:r>
      <w:r w:rsidR="00210CA7" w:rsidRPr="00210CA7">
        <w:rPr>
          <w:sz w:val="22"/>
          <w:szCs w:val="22"/>
        </w:rPr>
        <w:t xml:space="preserve"> and </w:t>
      </w:r>
      <w:r w:rsidR="004C12F0">
        <w:rPr>
          <w:sz w:val="22"/>
          <w:szCs w:val="22"/>
        </w:rPr>
        <w:t xml:space="preserve">are therefore </w:t>
      </w:r>
      <w:r w:rsidR="00210CA7" w:rsidRPr="00210CA7">
        <w:rPr>
          <w:sz w:val="22"/>
          <w:szCs w:val="22"/>
        </w:rPr>
        <w:t>align</w:t>
      </w:r>
      <w:r w:rsidR="004C12F0">
        <w:rPr>
          <w:sz w:val="22"/>
          <w:szCs w:val="22"/>
        </w:rPr>
        <w:t>ed</w:t>
      </w:r>
      <w:r w:rsidR="00210CA7" w:rsidRPr="00210CA7">
        <w:rPr>
          <w:sz w:val="22"/>
          <w:szCs w:val="22"/>
        </w:rPr>
        <w:t xml:space="preserve"> to the economic cycle.  As such, the attainment of the target is dependent </w:t>
      </w:r>
      <w:r w:rsidR="00D3587F">
        <w:rPr>
          <w:sz w:val="22"/>
          <w:szCs w:val="22"/>
        </w:rPr>
        <w:t xml:space="preserve">upon </w:t>
      </w:r>
      <w:r>
        <w:rPr>
          <w:sz w:val="22"/>
          <w:szCs w:val="22"/>
        </w:rPr>
        <w:t xml:space="preserve">fostering the conditions for </w:t>
      </w:r>
      <w:r w:rsidR="00210CA7" w:rsidRPr="00210CA7">
        <w:rPr>
          <w:sz w:val="22"/>
          <w:szCs w:val="22"/>
        </w:rPr>
        <w:t xml:space="preserve">businesses across Queensland industry sectors </w:t>
      </w:r>
      <w:r>
        <w:rPr>
          <w:sz w:val="22"/>
          <w:szCs w:val="22"/>
        </w:rPr>
        <w:t xml:space="preserve">to </w:t>
      </w:r>
      <w:r w:rsidR="00210CA7" w:rsidRPr="00210CA7">
        <w:rPr>
          <w:sz w:val="22"/>
          <w:szCs w:val="22"/>
        </w:rPr>
        <w:t>offer additional employment opportunities to Queenslanders.</w:t>
      </w:r>
    </w:p>
    <w:p w:rsidR="00CD0F51" w:rsidRPr="00AD28C7" w:rsidRDefault="00C171A6" w:rsidP="00DD41CD">
      <w:pPr>
        <w:keepLines/>
        <w:numPr>
          <w:ilvl w:val="0"/>
          <w:numId w:val="1"/>
        </w:numPr>
        <w:tabs>
          <w:tab w:val="left" w:pos="1"/>
          <w:tab w:val="left" w:pos="390"/>
          <w:tab w:val="left" w:pos="1440"/>
          <w:tab w:val="left" w:pos="21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A1434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D0F51" w:rsidRPr="00A14340">
        <w:rPr>
          <w:rFonts w:ascii="Arial" w:hAnsi="Arial" w:cs="Arial"/>
          <w:sz w:val="22"/>
          <w:szCs w:val="22"/>
          <w:u w:val="single"/>
        </w:rPr>
        <w:t>endorse</w:t>
      </w:r>
      <w:r w:rsidRPr="00A14340">
        <w:rPr>
          <w:rFonts w:ascii="Arial" w:hAnsi="Arial" w:cs="Arial"/>
          <w:sz w:val="22"/>
          <w:szCs w:val="22"/>
          <w:u w:val="single"/>
        </w:rPr>
        <w:t>d</w:t>
      </w:r>
      <w:r w:rsidR="00CD0F51" w:rsidRPr="00CD0F51">
        <w:rPr>
          <w:rFonts w:ascii="Arial" w:hAnsi="Arial" w:cs="Arial"/>
          <w:sz w:val="22"/>
          <w:szCs w:val="22"/>
        </w:rPr>
        <w:t xml:space="preserve"> the </w:t>
      </w:r>
      <w:r w:rsidRPr="00C171A6">
        <w:rPr>
          <w:rFonts w:ascii="Arial" w:hAnsi="Arial" w:cs="Arial"/>
          <w:bCs/>
          <w:spacing w:val="-3"/>
          <w:sz w:val="22"/>
          <w:szCs w:val="22"/>
        </w:rPr>
        <w:t>National Partnership Agreement on Skills Reform</w:t>
      </w:r>
      <w:r w:rsidRPr="00CD0F51">
        <w:rPr>
          <w:rFonts w:ascii="Arial" w:hAnsi="Arial" w:cs="Arial"/>
          <w:sz w:val="22"/>
          <w:szCs w:val="22"/>
        </w:rPr>
        <w:t xml:space="preserve"> </w:t>
      </w:r>
      <w:r w:rsidR="00B060CA">
        <w:rPr>
          <w:rFonts w:ascii="Arial" w:hAnsi="Arial" w:cs="Arial"/>
          <w:sz w:val="22"/>
          <w:szCs w:val="22"/>
        </w:rPr>
        <w:t xml:space="preserve">benchmark </w:t>
      </w:r>
      <w:r>
        <w:rPr>
          <w:rFonts w:ascii="Arial" w:hAnsi="Arial" w:cs="Arial"/>
          <w:sz w:val="22"/>
          <w:szCs w:val="22"/>
        </w:rPr>
        <w:t>of 16,543 apprenticeship commencements as the baseline</w:t>
      </w:r>
      <w:r w:rsidR="005A14BF">
        <w:rPr>
          <w:rFonts w:ascii="Arial" w:hAnsi="Arial" w:cs="Arial"/>
          <w:sz w:val="22"/>
          <w:szCs w:val="22"/>
        </w:rPr>
        <w:t xml:space="preserve"> </w:t>
      </w:r>
      <w:r w:rsidR="00CD0F51" w:rsidRPr="00CD0F51">
        <w:rPr>
          <w:rFonts w:ascii="Arial" w:hAnsi="Arial" w:cs="Arial"/>
          <w:sz w:val="22"/>
          <w:szCs w:val="22"/>
        </w:rPr>
        <w:t xml:space="preserve">to measure progress against the commitment of </w:t>
      </w:r>
      <w:r w:rsidR="00CD0F51" w:rsidRPr="00CD0F51">
        <w:rPr>
          <w:rFonts w:ascii="Arial" w:hAnsi="Arial" w:cs="Arial"/>
          <w:bCs/>
          <w:sz w:val="22"/>
          <w:szCs w:val="22"/>
        </w:rPr>
        <w:t>10,000 additional apprenticeships over six years from 2012-13 to 2017-18</w:t>
      </w:r>
      <w:r>
        <w:rPr>
          <w:rFonts w:ascii="Arial" w:hAnsi="Arial" w:cs="Arial"/>
          <w:bCs/>
          <w:sz w:val="22"/>
          <w:szCs w:val="22"/>
        </w:rPr>
        <w:t>.</w:t>
      </w:r>
    </w:p>
    <w:p w:rsidR="00F56E50" w:rsidRPr="00C07656" w:rsidRDefault="00F56E50" w:rsidP="00DD41CD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F56E50" w:rsidRDefault="00F56E50" w:rsidP="00AD28C7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F56E50">
        <w:rPr>
          <w:rFonts w:ascii="Arial" w:hAnsi="Arial" w:cs="Arial"/>
          <w:sz w:val="22"/>
          <w:szCs w:val="22"/>
        </w:rPr>
        <w:t>Nil.</w:t>
      </w:r>
    </w:p>
    <w:sectPr w:rsidR="00732E22" w:rsidRPr="00F56E50" w:rsidSect="00DD41CD">
      <w:head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C5" w:rsidRDefault="00372AC5" w:rsidP="00D6589B">
      <w:r>
        <w:separator/>
      </w:r>
    </w:p>
  </w:endnote>
  <w:endnote w:type="continuationSeparator" w:id="0">
    <w:p w:rsidR="00372AC5" w:rsidRDefault="00372AC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40" w:rsidRPr="00204116" w:rsidRDefault="00DE10AB" w:rsidP="00A14340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40" w:rsidRPr="00D11C67" w:rsidRDefault="00A14340" w:rsidP="00A1434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document is the property of the Government that created it and is held in trust by the Public Service.</w:t>
                          </w:r>
                        </w:p>
                        <w:p w:rsidR="00A14340" w:rsidRPr="00D11C67" w:rsidRDefault="00A14340" w:rsidP="00A1434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 may not be copied or reproduced.  For further information contact the Cabinet Secretariat.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85pt;margin-top:5.1pt;width:49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Kl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AiVKc3rgKnewNufoBtYDlm6sydpl8cUvqmJWrDr6zVfcsJg+iycDI5OTriuACy&#10;7t9rBteQrdcRaGhsF0oHxUCADiw9HpkJoVDYnOV5eT4FEwXb+Twr5tN4BakOp411/i3XHQqTGltg&#10;PqKT3Z3zIRpSHVzCZU5LwVZCyriwm/WNtGhHQCWr+O3RX7hJFZyVDsdGxHEHgoQ7gi2EG1l/KrO8&#10;SK/zcrKaLeaTYlVMJ+U8XUzSrLwuZ2lRFrer7yHArKhawRhXd0LxgwKz4u8Y3vfCqJ2oQdTXuJzm&#10;05GiPyaZxu93SXbCQ0NK0YEijk6kCsS+UQzSJpUnQo7z5GX4scpQg8M/ViXKIDA/asAP6wFQgjbW&#10;mj2CIKwGvoBaeEVg0mr7DaMeOrLG7uuWWI6RfKdAVGVWFKGF46KYznNY2FPL+tRCFAWoGnuMxumN&#10;H9t+a6zYtHDTKGOlr0CIjYgaeY5qL1/oupjM/oUIbX26jl7P79jyBwAAAP//AwBQSwMEFAAGAAgA&#10;AAAhALznTW/eAAAACQEAAA8AAABkcnMvZG93bnJldi54bWxMj9FOg0AQRd9N/IfNNPHFtAtVoSBL&#10;oyYaX1v7AQO7BVJ2lrDbQv/e8ck+Tu7JvWeK7Wx7cTGj7xwpiFcRCEO10x01Cg4/n8sNCB+QNPaO&#10;jIKr8bAt7+8KzLWbaGcu+9AILiGfo4I2hCGX0tetsehXbjDE2dGNFgOfYyP1iBOX216uoyiRFjvi&#10;hRYH89Ga+rQ/WwXH7+nxJZuqr3BId8/JO3Zp5a5KPSzmt1cQwczhH4Y/fVaHkp0qdybtRa9gGccp&#10;oxxEaxAMZEn2BKJSkGxSkGUhbz8ofwEAAP//AwBQSwECLQAUAAYACAAAACEAtoM4kv4AAADhAQAA&#10;EwAAAAAAAAAAAAAAAAAAAAAAW0NvbnRlbnRfVHlwZXNdLnhtbFBLAQItABQABgAIAAAAIQA4/SH/&#10;1gAAAJQBAAALAAAAAAAAAAAAAAAAAC8BAABfcmVscy8ucmVsc1BLAQItABQABgAIAAAAIQANtZKl&#10;ggIAAA8FAAAOAAAAAAAAAAAAAAAAAC4CAABkcnMvZTJvRG9jLnhtbFBLAQItABQABgAIAAAAIQC8&#10;501v3gAAAAkBAAAPAAAAAAAAAAAAAAAAANwEAABkcnMvZG93bnJldi54bWxQSwUGAAAAAAQABADz&#10;AAAA5wUAAAAA&#10;" stroked="f">
              <v:textbox>
                <w:txbxContent>
                  <w:p w:rsidR="00A14340" w:rsidRPr="00D11C67" w:rsidRDefault="00A14340" w:rsidP="00A1434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This document is the property of the Government that created it and is held in trust by the Public Service.</w:t>
                    </w:r>
                  </w:p>
                  <w:p w:rsidR="00A14340" w:rsidRPr="00D11C67" w:rsidRDefault="00A14340" w:rsidP="00A1434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It may not be copied or reproduced.  For further information contact the Cabinet Secretariat.</w:t>
                    </w:r>
                  </w:p>
                </w:txbxContent>
              </v:textbox>
            </v:shape>
          </w:pict>
        </mc:Fallback>
      </mc:AlternateContent>
    </w:r>
  </w:p>
  <w:p w:rsidR="00A14340" w:rsidRDefault="00A14340" w:rsidP="00A14340">
    <w:pPr>
      <w:pStyle w:val="Footer"/>
    </w:pPr>
  </w:p>
  <w:p w:rsidR="00A14340" w:rsidRDefault="00DE10AB" w:rsidP="00A14340">
    <w:pPr>
      <w:pStyle w:val="Foot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143509</wp:posOffset>
              </wp:positionV>
              <wp:extent cx="62293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EC1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3.15pt;margin-top:11.3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CaJQIAAEsEAAAOAAAAZHJzL2Uyb0RvYy54bWysVMGO2jAQvVfqP1i5QxIWWIgIK5RAL9su&#10;EtsPMLZDrCYeyzYEVPXfOzYB7W4vVVVFcsYZz5s3M89ZPJ3bhpyEsRJUHqXDJCJCMeBSHfLo++tm&#10;MIuIdVRx2oASeXQRNnpafv606HQmRlBDw4UhCKJs1uk8qp3TWRxbVouW2iFoodBZgWmpw605xNzQ&#10;DtHbJh4lyTTuwHBtgAlr8Wt5dUbLgF9VgrmXqrLCkSaPkJsLqwnr3q/xckGzg6G6lqynQf+BRUul&#10;wqR3qJI6So5G/gHVSmbAQuWGDNoYqkoyEWrAatLkQzW7mmoRasHmWH1vk/1/sOzbaWuI5Hn0GBFF&#10;WxzRzhkqD7UjK2OgIwUohW0EQx59tzptMwwq1Nb4etlZ7fQzsB+WKChqqg4isH69aIRKfUT8LsRv&#10;rMac++4rcDxDjw5C686VaT0kNoWcw4Qu9wmJsyMMP05Ho/nDBAfJbr6YZrdAbaz7IqAl3sgj29dx&#10;LyANaejp2TpPi2a3AJ9VwUY2TZBDo0iH3OcJJvIuC43k3hs25rAvGkNOFBU1WfknFPnhmIGj4gGt&#10;FpSve9tR2VxtzN4oj4eVIZ/eukrm5zyZr2fr2XgwHk3Xg3FSloPVphgPppv0cVI+lEVRpr88tXSc&#10;1ZJzoTy7m3zT8d/Jo79IV+HdBXzvQ/wePTQMyd7egXQYrZ/mVRd74JetuY0cFRsO97fLX4m3e7Tf&#10;/gOWvwEAAP//AwBQSwMEFAAGAAgAAAAhAOO5/bDcAAAABwEAAA8AAABkcnMvZG93bnJldi54bWxM&#10;js1OwzAQhO9IvIO1SNyoQyolJcSpEFKBqhygcOHmxpvEIl5HsdsGnr6LOMBxfjTzlcvJ9eKAY7Ce&#10;FFzPEhBItTeWWgXvb6urBYgQNRnde0IFXxhgWZ2flbow/kiveNjGVvAIhUIr6GIcCilD3aHTYeYH&#10;JM4aPzodWY6tNKM+8rjrZZokmXTaEj90esD7DuvP7d4pWOWb8Lz+WOfNY/Nkvx/si50zj7q8mO5u&#10;QUSc4l8ZfvAZHSpm2vk9mSB6BdmciwrSNAPB8c0iZ2P3a8iqlP/5qxMAAAD//wMAUEsBAi0AFAAG&#10;AAgAAAAhALaDOJL+AAAA4QEAABMAAAAAAAAAAAAAAAAAAAAAAFtDb250ZW50X1R5cGVzXS54bWxQ&#10;SwECLQAUAAYACAAAACEAOP0h/9YAAACUAQAACwAAAAAAAAAAAAAAAAAvAQAAX3JlbHMvLnJlbHNQ&#10;SwECLQAUAAYACAAAACEA1t6QmiUCAABLBAAADgAAAAAAAAAAAAAAAAAuAgAAZHJzL2Uyb0RvYy54&#10;bWxQSwECLQAUAAYACAAAACEA47n9sNwAAAAHAQAADwAAAAAAAAAAAAAAAAB/BAAAZHJzL2Rvd25y&#10;ZXYueG1sUEsFBgAAAAAEAAQA8wAAAIgFAAAAAA==&#10;" strokecolor="#5a5a5a" strokeweight="1.5pt"/>
          </w:pict>
        </mc:Fallback>
      </mc:AlternateContent>
    </w:r>
  </w:p>
  <w:p w:rsidR="00A14340" w:rsidRPr="00D11C67" w:rsidRDefault="00A14340" w:rsidP="00A14340">
    <w:pPr>
      <w:pStyle w:val="Footer"/>
      <w:jc w:val="center"/>
      <w:rPr>
        <w:rFonts w:ascii="Arial" w:hAnsi="Arial" w:cs="Arial"/>
        <w:b/>
        <w:sz w:val="28"/>
        <w:szCs w:val="28"/>
      </w:rPr>
    </w:pPr>
    <w:r w:rsidRPr="00D11C67">
      <w:rPr>
        <w:rFonts w:ascii="Arial" w:hAnsi="Arial" w:cs="Arial"/>
        <w:b/>
        <w:sz w:val="28"/>
        <w:szCs w:val="28"/>
      </w:rPr>
      <w:t>CABINET-IN-CONFIDENCE</w:t>
    </w:r>
  </w:p>
  <w:p w:rsidR="00A14340" w:rsidRDefault="00DE10A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39369</wp:posOffset>
              </wp:positionV>
              <wp:extent cx="62293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E562F" id="Straight Arrow Connector 6" o:spid="_x0000_s1026" type="#_x0000_t32" style="position:absolute;margin-left:3.15pt;margin-top:3.1pt;width:490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enJQIAAEsEAAAOAAAAZHJzL2Uyb0RvYy54bWysVMGO2jAQvVfqP1i5s0lYoBARViiBXrYt&#10;EtsPMLZDrCYeyzYEVPXfOzYk2t1eqqqK5IwznjdvZp6zfLq0DTkLYyWoPEofkogIxYBLdcyj7y/b&#10;0Twi1lHFaQNK5NFV2Ohp9fHDstOZGEMNDReGIIiyWafzqHZOZ3FsWS1aah9AC4XOCkxLHW7NMeaG&#10;dojeNvE4SWZxB4ZrA0xYi1/LmzNaBfyqEsx9qyorHGnyCLm5sJqwHvwar5Y0Oxqqa8nuNOg/sGip&#10;VJh0gCqpo+Rk5B9QrWQGLFTugUEbQ1VJJkINWE2avKtmX1MtQi3YHKuHNtn/B8u+nneGSJ5Hs4go&#10;2uKI9s5QeawdWRsDHSlAKWwjGDLz3eq0zTCoUDvj62UXtdfPwH5YoqCoqTqKwPrlqhEq9RHxmxC/&#10;sRpzHrovwPEMPTkIrbtUpvWQ2BRyCRO6DhMSF0cYfpyNx4vHKQ6S9b6YZn2gNtZ9FtASb+SRvdcx&#10;FJCGNPT8bJ2nRbM+wGdVsJVNE+TQKNIh90WCibzLQiO594aNOR6KxpAzRUVN1/4JRb47ZuCkeECr&#10;BeWbu+2obG42Zm+Ux8PKkM/duknm5yJZbOab+WQ0Gc82o0lSlqP1tpiMZtv007R8LIuiTH95aukk&#10;qyXnQnl2vXzTyd/J436RbsIbBDz0IX6LHhqGZPt3IB1G66d508UB+HVn+pGjYsPh++3yV+L1Hu3X&#10;/4DVbwAAAP//AwBQSwMEFAAGAAgAAAAhADps6RfbAAAABQEAAA8AAABkcnMvZG93bnJldi54bWxM&#10;jkFPwkAQhe8m/ofNkHiTLZBQrN0SY4JK8KDoxdvSnbYbu7NNd4HKr2fkoqfJl/fy5suXg2vFAftg&#10;PSmYjBMQSKU3lmoFnx+r2wWIEDUZ3XpCBT8YYFlcX+U6M/5I73jYxlrwCIVMK2hi7DIpQ9mg02Hs&#10;OyTOKt87HRn7WppeH3nctXKaJHPptCX+0OgOHxssv7d7p2CVbsLr+mudVs/Viz092Tc7Yx91Mxoe&#10;7kFEHOJfGX71WR0Kdtr5PZkgWgXzGRf5TEFwerdImXcXlkUu/9sXZwAAAP//AwBQSwECLQAUAAYA&#10;CAAAACEAtoM4kv4AAADhAQAAEwAAAAAAAAAAAAAAAAAAAAAAW0NvbnRlbnRfVHlwZXNdLnhtbFBL&#10;AQItABQABgAIAAAAIQA4/SH/1gAAAJQBAAALAAAAAAAAAAAAAAAAAC8BAABfcmVscy8ucmVsc1BL&#10;AQItABQABgAIAAAAIQDbDUenJQIAAEsEAAAOAAAAAAAAAAAAAAAAAC4CAABkcnMvZTJvRG9jLnht&#10;bFBLAQItABQABgAIAAAAIQA6bOkX2wAAAAUBAAAPAAAAAAAAAAAAAAAAAH8EAABkcnMvZG93bnJl&#10;di54bWxQSwUGAAAAAAQABADzAAAAhwUAAAAA&#10;" strokecolor="#5a5a5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C5" w:rsidRDefault="00372AC5" w:rsidP="00D6589B">
      <w:r>
        <w:separator/>
      </w:r>
    </w:p>
  </w:footnote>
  <w:footnote w:type="continuationSeparator" w:id="0">
    <w:p w:rsidR="00372AC5" w:rsidRDefault="00372AC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B26E9" w:rsidRPr="00937A4A" w:rsidRDefault="007B26E9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9B53EE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201</w:t>
    </w:r>
    <w:r w:rsidR="009B53EE">
      <w:rPr>
        <w:rFonts w:ascii="Arial" w:hAnsi="Arial" w:cs="Arial"/>
        <w:b/>
        <w:sz w:val="22"/>
        <w:szCs w:val="22"/>
      </w:rPr>
      <w:t>4</w:t>
    </w:r>
  </w:p>
  <w:p w:rsidR="009B53EE" w:rsidRPr="009B53EE" w:rsidRDefault="00A14340" w:rsidP="00D6589B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Progress R</w:t>
    </w:r>
    <w:r w:rsidRPr="009B53EE">
      <w:rPr>
        <w:rFonts w:ascii="Arial" w:hAnsi="Arial" w:cs="Arial"/>
        <w:b/>
        <w:bCs/>
        <w:sz w:val="22"/>
        <w:szCs w:val="22"/>
        <w:u w:val="single"/>
      </w:rPr>
      <w:t>eport - 10,000 additional apprenticeships over six years from 2012-13 to 2017-18</w:t>
    </w:r>
  </w:p>
  <w:p w:rsidR="007B26E9" w:rsidRPr="00E77969" w:rsidRDefault="007B26E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77969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7B26E9" w:rsidRDefault="007B26E9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E694E"/>
    <w:multiLevelType w:val="hybridMultilevel"/>
    <w:tmpl w:val="20942E8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997847"/>
    <w:multiLevelType w:val="hybridMultilevel"/>
    <w:tmpl w:val="EA684A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B3276"/>
    <w:multiLevelType w:val="hybridMultilevel"/>
    <w:tmpl w:val="7FA8D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E4382"/>
    <w:multiLevelType w:val="hybridMultilevel"/>
    <w:tmpl w:val="8CA89EA8"/>
    <w:lvl w:ilvl="0" w:tplc="7BC4AE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75A32E4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5D73"/>
    <w:rsid w:val="00080F8F"/>
    <w:rsid w:val="00083B73"/>
    <w:rsid w:val="000919BB"/>
    <w:rsid w:val="000A4B6D"/>
    <w:rsid w:val="00101563"/>
    <w:rsid w:val="00174117"/>
    <w:rsid w:val="001A3F78"/>
    <w:rsid w:val="00210CA7"/>
    <w:rsid w:val="00231C5A"/>
    <w:rsid w:val="002A7E06"/>
    <w:rsid w:val="002C006D"/>
    <w:rsid w:val="002C5E8C"/>
    <w:rsid w:val="002F060A"/>
    <w:rsid w:val="003064C4"/>
    <w:rsid w:val="00314D79"/>
    <w:rsid w:val="00320336"/>
    <w:rsid w:val="003376F9"/>
    <w:rsid w:val="00352CFD"/>
    <w:rsid w:val="00372AC5"/>
    <w:rsid w:val="003D2FFF"/>
    <w:rsid w:val="003F7A71"/>
    <w:rsid w:val="00497D04"/>
    <w:rsid w:val="004C12F0"/>
    <w:rsid w:val="004C417F"/>
    <w:rsid w:val="004D769B"/>
    <w:rsid w:val="00501C66"/>
    <w:rsid w:val="00505453"/>
    <w:rsid w:val="00550873"/>
    <w:rsid w:val="005A14BF"/>
    <w:rsid w:val="00627D8D"/>
    <w:rsid w:val="00686207"/>
    <w:rsid w:val="00703CF2"/>
    <w:rsid w:val="0071252C"/>
    <w:rsid w:val="00732E22"/>
    <w:rsid w:val="007B26E9"/>
    <w:rsid w:val="007C716D"/>
    <w:rsid w:val="0083688D"/>
    <w:rsid w:val="008E1897"/>
    <w:rsid w:val="008E493E"/>
    <w:rsid w:val="008E63BC"/>
    <w:rsid w:val="008F5C2A"/>
    <w:rsid w:val="009B53EE"/>
    <w:rsid w:val="009E315F"/>
    <w:rsid w:val="00A14340"/>
    <w:rsid w:val="00AD28C7"/>
    <w:rsid w:val="00B060CA"/>
    <w:rsid w:val="00B367A3"/>
    <w:rsid w:val="00B77DF2"/>
    <w:rsid w:val="00C0479B"/>
    <w:rsid w:val="00C171A6"/>
    <w:rsid w:val="00C75E67"/>
    <w:rsid w:val="00C90CAE"/>
    <w:rsid w:val="00CB1501"/>
    <w:rsid w:val="00CD0F51"/>
    <w:rsid w:val="00CD6D6A"/>
    <w:rsid w:val="00CF0D8A"/>
    <w:rsid w:val="00D303E9"/>
    <w:rsid w:val="00D3587F"/>
    <w:rsid w:val="00D52A87"/>
    <w:rsid w:val="00D6589B"/>
    <w:rsid w:val="00DD41CD"/>
    <w:rsid w:val="00DE10AB"/>
    <w:rsid w:val="00DF737E"/>
    <w:rsid w:val="00E30771"/>
    <w:rsid w:val="00E77969"/>
    <w:rsid w:val="00EC4F1C"/>
    <w:rsid w:val="00EF798F"/>
    <w:rsid w:val="00F215C8"/>
    <w:rsid w:val="00F2657A"/>
    <w:rsid w:val="00F56E50"/>
    <w:rsid w:val="00F849CA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06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A4B6D"/>
    <w:pPr>
      <w:spacing w:after="200" w:line="276" w:lineRule="auto"/>
      <w:ind w:left="720"/>
      <w:contextualSpacing/>
    </w:pPr>
    <w:rPr>
      <w:rFonts w:ascii="Calibri" w:eastAsia="SimSun" w:hAnsi="Calibri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BE126-89EE-49B5-A52D-F4ECBC5E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1255F-263B-4AED-BCA7-38A16B87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0FC67-0987-47F2-B80A-3FA9D011B6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D32B5C-3623-4A8F-8D7B-A69D22276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1862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Base>https://www.cabinet.qld.gov.au/documents/2014/May/Addl Apprent/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2014-07-01T23:29:00Z</cp:lastPrinted>
  <dcterms:created xsi:type="dcterms:W3CDTF">2017-10-25T01:16:00Z</dcterms:created>
  <dcterms:modified xsi:type="dcterms:W3CDTF">2018-03-06T01:26:00Z</dcterms:modified>
  <cp:category>Employment,Training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